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1414780" cy="55181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-67" l="-17" r="-15" t="-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80" cy="551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2001520" cy="47434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15724" r="-3492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520" cy="4743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hd w:fill="ffffff" w:val="clear"/>
        <w:spacing w:after="150" w:before="15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Бриф на розробку інформаційної кампанії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00" w:before="75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Загальна інформація про Проєкт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300" w:before="75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Проєкт “Центр гендерної культури як платформа для розширення прав і можливостей жінок та молоді” реалізується за підтримки Європейського Союзу. Проєкт стартував у грудні 2017 р. та триватиме до березня 2021 р.</w:t>
      </w:r>
    </w:p>
    <w:p w:rsidR="00000000" w:rsidDel="00000000" w:rsidP="00000000" w:rsidRDefault="00000000" w:rsidRPr="00000000" w14:paraId="00000007">
      <w:pPr>
        <w:shd w:fill="ffffff" w:val="clear"/>
        <w:spacing w:after="300" w:before="75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Мета проєкту </w:t>
      </w:r>
      <w:r w:rsidDel="00000000" w:rsidR="00000000" w:rsidRPr="00000000">
        <w:rPr>
          <w:sz w:val="24"/>
          <w:szCs w:val="24"/>
          <w:rtl w:val="0"/>
        </w:rPr>
        <w:t xml:space="preserve">— розповсюдження ідей гендерної рівності і гендерної культури у Харківській області та на сході України. Проєкт спрямований на неформальну гендерну освіту молоді й жінок з метою допомогти їм стати гендерночутливими лідерами і лідерками, які беруть активну участь у процесі прийняття  рішень як на регіональному, так і на національному рівнях.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Загальна інформація про інформаційну кампанію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“Гендерна рівність — це і для чоловіків” (робоча назва, завдання агенції — запропонувати слоган кампанії).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Актуальність: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Україні впроваджується багато програм, законодавчих ініціатив для покращення ситуації у сфері прав та можливостей жінок і чоловіків, але інформування та антидискримінаційні заходи спрямовані у більшості на жінок й сприймаються у суспільстві як виключно жіноче питання. Чоловіча частина населення погоджується з фактом нерівності, але у повсякденному житті не співвідносить існуючі наслідки з причинами.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Деякі дослідження чітко показують наявність в Україні так званої “чоловічої коробки”: набору якостей, що має мати чоловік, аби відповідати відведеній йому ролі в суспільстві. Скажімо, він не має права проявляти слабкість, попросити допомоги чи зізнатися у тому, що не знає як вирішити проблему. У цю “коробку” стереотипів хлопчики потрапляють змалку: саме тоді їм починають нав’язувати певні моделі поведінки та висувають список вимог до “справжніх” чоловіків, якими вони, безумовно, мають вирости. 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Нездатність грати роль, нав’язану суспільством, в результаті приводить до так званої “кризи маскулінності” у дорослому віці. Звідси витікають такі проблеми, як значний розрив у тривалості життя чоловіків та жінок, надсмертність чоловіків, самогубства, криза татівства тощо. І якщо у суспільстві впроваджувати низку заходів відносно чоловіків, спрямованих на злам стереотипних уявлень про «типові» чоловічі обов’язки при виконанні гендерних ролей, то ситуація з гендерною рівністю в цілому буде покращуватися.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Мета: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підвищити обізнаність суспільства про позитивний вплив гендерної рівності не тільки на жінок, а й на чоловіків.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Термін: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жовтень-листопад 2020 року.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Територіальне покриття: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міста Харківської, Луганської та Донецької областей.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Цільова аудиторія: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Чоловіки 16 - 25 р., неодружені, без дітей, студенти/початок кар'єри, які проживають у містах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Чоловіки 26 - 40 р., перебувають або перебували у шлюбі, мають досвід татівства, мають дітей до 18 років, стабільний середній дохід та проживають у містах.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Завдання: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Надати ЦА інформацію про позитивний вплив  гендерної рівності у суспільстві на чоловіків;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Поінформувати про негативні наслідки гендерної нерівності в українському суспільстві для чоловіків (коротка тривалість життя, високий рівень захворюваності на алкоголізм, економічні наслідки карантину тощо);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Популяризувати залучення татів до процесу виховання на однаковому рівні з матерями;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Популяризувати рівний розподіл домашніх обов’язків.</w:t>
      </w:r>
    </w:p>
    <w:p w:rsidR="00000000" w:rsidDel="00000000" w:rsidP="00000000" w:rsidRDefault="00000000" w:rsidRPr="00000000" w14:paraId="0000001D">
      <w:pPr>
        <w:spacing w:after="240" w:before="240" w:lineRule="auto"/>
        <w:ind w:left="0" w:firstLine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Графік реалізації заходів кампанії: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Серпень-вересень 2020 р. - підготовчі заходи.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Жовтень-листопад 2020 р. - активна фаза.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Листопад 2020 р. - заключний етап, підготовка звітності.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Основні проблеми та месседжі до цільової аудиторії, які потрібно врахувати під час складання контент-плану:</w:t>
      </w:r>
    </w:p>
    <w:tbl>
      <w:tblPr>
        <w:tblStyle w:val="Table2"/>
        <w:tblW w:w="9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830"/>
        <w:gridCol w:w="4500"/>
        <w:tblGridChange w:id="0">
          <w:tblGrid>
            <w:gridCol w:w="585"/>
            <w:gridCol w:w="4830"/>
            <w:gridCol w:w="4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Проблема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Месседж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Чоловіки не піклуються про своє здоров’я, звертаються до лікарів лише в ургентних випадках.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Сучасні/справжні чоловіки турбуються про своє здоров’я.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Чоловіки недостатньо приділяють уваги вихованню дітей, віддаючи ініціативу з догляду за дітьми жінкам.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Діти засвоюють з дитинства рольові сімейні моделі, згідно з якими догляд за дітьми - не чоловіча справа.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Сучасні/справжні чоловіки активно залучені до виховання дітей.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Виховання дітей - справа для справжніх чоловіків.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Чоловіки покладають більшість хатніх обов’язків на своїх дружин / партнерок.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Сучасні/справжні  чоловіки порівну виконують  хатню роботу.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Чоловікам з дитинства забороняють виражати власні емоції, що призводить до серцево-судинних захворювань, алкоголізму, наркоманії, високому рівню суїцидів.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Сучасні/справжні чоловіки емоційні і чутливі.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Широкий загал вважає, що гендерна рівність утискає чоловіків. Насправді чоловіки отримають багато користі від гендерної рівності: в них буде більш тісний емоційний зв’язок з дітьми і родиною, менше серцево-судинних хвороб і більша тривалість життя.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Сучасні/справжні чоловіки підтримують гендерну рівність.</w:t>
            </w:r>
          </w:p>
        </w:tc>
      </w:tr>
    </w:tbl>
    <w:p w:rsidR="00000000" w:rsidDel="00000000" w:rsidP="00000000" w:rsidRDefault="00000000" w:rsidRPr="00000000" w14:paraId="00000038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240" w:before="24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Орієнтовний перелік інструментів кампанії, які необхідно врахувати при розробці бюджету: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hd w:fill="ffffff" w:val="clear"/>
        <w:spacing w:after="0" w:afterAutospacing="0" w:before="24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Відеоролики</w:t>
      </w:r>
      <w:r w:rsidDel="00000000" w:rsidR="00000000" w:rsidRPr="00000000">
        <w:rPr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4 відео по 1 хв. (сценарій, зйомка, монтаж)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Друкована продукція - постери, буклети, тощо.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Роздаткова продукція - футболки, ручки, браслети, наклейки тощо.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Таргетована реклама в соціальних мережах.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Зовнішня реклама (білборди, метро, громадські місця)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hd w:fill="ffffff" w:val="clear"/>
        <w:spacing w:after="24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Івенти із залученням цільової аудиторії. </w:t>
      </w:r>
    </w:p>
    <w:p w:rsidR="00000000" w:rsidDel="00000000" w:rsidP="00000000" w:rsidRDefault="00000000" w:rsidRPr="00000000" w14:paraId="00000040">
      <w:pPr>
        <w:shd w:fill="ffffff" w:val="clear"/>
        <w:spacing w:after="240" w:before="24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Особливі вимоги до брендингу:</w:t>
      </w:r>
    </w:p>
    <w:p w:rsidR="00000000" w:rsidDel="00000000" w:rsidP="00000000" w:rsidRDefault="00000000" w:rsidRPr="00000000" w14:paraId="00000041">
      <w:pPr>
        <w:shd w:fill="ffffff" w:val="clear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Всі інформаційні матеріали мають містити логотипи - Прямуємо Разом та Центру гендерної культури.  </w:t>
      </w:r>
    </w:p>
    <w:p w:rsidR="00000000" w:rsidDel="00000000" w:rsidP="00000000" w:rsidRDefault="00000000" w:rsidRPr="00000000" w14:paraId="00000042">
      <w:pPr>
        <w:shd w:fill="ffffff" w:val="clear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Інформаційна кампанія має використовувати слоган та єдиний хештег  для впізнаваності та пошуку у соціальних мережах. Фейсбук - </w:t>
      </w:r>
      <w:hyperlink r:id="rId8">
        <w:r w:rsidDel="00000000" w:rsidR="00000000" w:rsidRPr="00000000">
          <w:rPr>
            <w:color w:val="1a73e8"/>
            <w:sz w:val="24"/>
            <w:szCs w:val="24"/>
            <w:highlight w:val="white"/>
            <w:rtl w:val="0"/>
          </w:rPr>
          <w:t xml:space="preserve">https://www.facebook.com/GenderCultureCentre/</w:t>
        </w:r>
      </w:hyperlink>
      <w:r w:rsidDel="00000000" w:rsidR="00000000" w:rsidRPr="00000000">
        <w:rPr>
          <w:color w:val="1a73e8"/>
          <w:sz w:val="24"/>
          <w:szCs w:val="24"/>
          <w:highlight w:val="white"/>
          <w:rtl w:val="0"/>
        </w:rPr>
        <w:t xml:space="preserve">, сайт - </w:t>
      </w:r>
      <w:hyperlink r:id="rId9">
        <w:r w:rsidDel="00000000" w:rsidR="00000000" w:rsidRPr="00000000">
          <w:rPr>
            <w:color w:val="1a73e8"/>
            <w:sz w:val="24"/>
            <w:szCs w:val="24"/>
            <w:highlight w:val="white"/>
            <w:u w:val="single"/>
            <w:rtl w:val="0"/>
          </w:rPr>
          <w:t xml:space="preserve">www.genderculturecentre.org</w:t>
        </w:r>
      </w:hyperlink>
      <w:r w:rsidDel="00000000" w:rsidR="00000000" w:rsidRPr="00000000">
        <w:rPr>
          <w:color w:val="1a73e8"/>
          <w:sz w:val="24"/>
          <w:szCs w:val="24"/>
          <w:highlight w:val="white"/>
          <w:u w:val="single"/>
          <w:rtl w:val="0"/>
        </w:rPr>
        <w:t xml:space="preserve"> </w:t>
      </w:r>
      <w:r w:rsidDel="00000000" w:rsidR="00000000" w:rsidRPr="00000000">
        <w:rPr>
          <w:color w:val="3c4043"/>
          <w:sz w:val="24"/>
          <w:szCs w:val="24"/>
          <w:highlight w:val="white"/>
          <w:rtl w:val="0"/>
        </w:rPr>
        <w:t xml:space="preserve">, інстаграм - gender.culture.centre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разі виникнення додаткових запитань звертатися: </w:t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Дарія Велигодська – 050-608-66-64; 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genderkharkiv@gmail.com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300" w:before="75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genderkharkiv@gmail.com" TargetMode="External"/><Relationship Id="rId9" Type="http://schemas.openxmlformats.org/officeDocument/2006/relationships/hyperlink" Target="http://www.genderculturecentre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facebook.com/GenderCultureCent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